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95C" w:rsidRPr="007D195C" w:rsidRDefault="007D195C" w:rsidP="007D195C">
      <w:pPr>
        <w:widowControl/>
        <w:wordWrap w:val="0"/>
        <w:spacing w:before="100" w:beforeAutospacing="1" w:after="100" w:afterAutospacing="1" w:line="336" w:lineRule="auto"/>
        <w:jc w:val="center"/>
        <w:rPr>
          <w:rFonts w:ascii="Arial" w:eastAsia="宋体" w:hAnsi="Arial" w:cs="Arial"/>
          <w:color w:val="333333"/>
          <w:kern w:val="0"/>
          <w:szCs w:val="21"/>
        </w:rPr>
      </w:pPr>
      <w:r w:rsidRPr="007D195C">
        <w:rPr>
          <w:rFonts w:ascii="Arial" w:eastAsia="宋体" w:hAnsi="Arial" w:cs="Arial"/>
          <w:color w:val="333333"/>
          <w:kern w:val="0"/>
          <w:szCs w:val="21"/>
        </w:rPr>
        <w:t> </w:t>
      </w:r>
      <w:r>
        <w:rPr>
          <w:rFonts w:ascii="Arial" w:eastAsia="宋体" w:hAnsi="Arial" w:cs="Arial"/>
          <w:noProof/>
          <w:color w:val="333333"/>
          <w:kern w:val="0"/>
          <w:szCs w:val="21"/>
        </w:rPr>
        <w:drawing>
          <wp:inline distT="0" distB="0" distL="0" distR="0">
            <wp:extent cx="4648200" cy="676275"/>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6275"/>
                    </a:xfrm>
                    <a:prstGeom prst="rect">
                      <a:avLst/>
                    </a:prstGeom>
                    <a:noFill/>
                    <a:ln w="9525">
                      <a:noFill/>
                      <a:miter lim="800000"/>
                      <a:headEnd/>
                      <a:tailEnd/>
                    </a:ln>
                  </pic:spPr>
                </pic:pic>
              </a:graphicData>
            </a:graphic>
          </wp:inline>
        </w:drawing>
      </w:r>
      <w:r w:rsidRPr="007D195C">
        <w:rPr>
          <w:rFonts w:ascii="Arial" w:eastAsia="宋体" w:hAnsi="Arial" w:cs="Arial"/>
          <w:color w:val="333333"/>
          <w:kern w:val="0"/>
          <w:szCs w:val="21"/>
        </w:rPr>
        <w:t>  </w:t>
      </w:r>
    </w:p>
    <w:p w:rsidR="007D195C" w:rsidRPr="007D195C" w:rsidRDefault="007D195C" w:rsidP="007D195C">
      <w:pPr>
        <w:widowControl/>
        <w:wordWrap w:val="0"/>
        <w:spacing w:before="100" w:beforeAutospacing="1" w:after="100" w:afterAutospacing="1" w:line="480" w:lineRule="auto"/>
        <w:jc w:val="center"/>
        <w:rPr>
          <w:rFonts w:ascii="宋体" w:eastAsia="宋体" w:hAnsi="宋体" w:cs="宋体"/>
          <w:color w:val="000000"/>
          <w:kern w:val="0"/>
          <w:sz w:val="28"/>
          <w:szCs w:val="28"/>
        </w:rPr>
      </w:pPr>
      <w:r w:rsidRPr="007D195C">
        <w:rPr>
          <w:rFonts w:ascii="仿宋_GB2312" w:eastAsia="仿宋_GB2312" w:hAnsi="宋体" w:cs="宋体" w:hint="eastAsia"/>
          <w:color w:val="000000"/>
          <w:kern w:val="0"/>
          <w:sz w:val="32"/>
          <w:szCs w:val="32"/>
        </w:rPr>
        <w:t>浙财院〔2010〕69号</w:t>
      </w:r>
    </w:p>
    <w:p w:rsidR="007D195C" w:rsidRPr="007D195C" w:rsidRDefault="007D195C" w:rsidP="007D195C">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7D195C" w:rsidRPr="007D195C" w:rsidRDefault="007D195C" w:rsidP="007D195C">
      <w:pPr>
        <w:widowControl/>
        <w:wordWrap w:val="0"/>
        <w:spacing w:line="480" w:lineRule="auto"/>
        <w:jc w:val="left"/>
        <w:rPr>
          <w:rFonts w:ascii="宋体" w:eastAsia="宋体" w:hAnsi="宋体" w:cs="宋体"/>
          <w:color w:val="333333"/>
          <w:kern w:val="0"/>
          <w:sz w:val="24"/>
          <w:szCs w:val="24"/>
        </w:rPr>
      </w:pPr>
      <w:r w:rsidRPr="007D195C">
        <w:rPr>
          <w:rFonts w:ascii="宋体" w:eastAsia="宋体" w:hAnsi="宋体" w:cs="宋体"/>
          <w:color w:val="333333"/>
          <w:kern w:val="0"/>
          <w:sz w:val="24"/>
          <w:szCs w:val="24"/>
        </w:rPr>
        <w:t> </w:t>
      </w:r>
    </w:p>
    <w:p w:rsidR="007D195C" w:rsidRPr="007D195C" w:rsidRDefault="007D195C" w:rsidP="007D195C">
      <w:pPr>
        <w:widowControl/>
        <w:wordWrap w:val="0"/>
        <w:snapToGrid w:val="0"/>
        <w:spacing w:line="300" w:lineRule="auto"/>
        <w:ind w:rightChars="-42" w:right="-88"/>
        <w:jc w:val="center"/>
        <w:rPr>
          <w:rFonts w:ascii="华文中宋" w:eastAsia="华文中宋" w:hAnsi="华文中宋" w:cs="宋体"/>
          <w:bCs/>
          <w:color w:val="000000"/>
          <w:kern w:val="0"/>
          <w:sz w:val="44"/>
          <w:szCs w:val="44"/>
        </w:rPr>
      </w:pPr>
      <w:r w:rsidRPr="007D195C">
        <w:rPr>
          <w:rFonts w:ascii="华文中宋" w:eastAsia="华文中宋" w:hAnsi="华文中宋" w:cs="宋体" w:hint="eastAsia"/>
          <w:bCs/>
          <w:color w:val="000000"/>
          <w:kern w:val="0"/>
          <w:sz w:val="44"/>
          <w:szCs w:val="44"/>
        </w:rPr>
        <w:t>关于印发《浙江财经学院教职工年度考核</w:t>
      </w:r>
    </w:p>
    <w:p w:rsidR="007D195C" w:rsidRPr="007D195C" w:rsidRDefault="007D195C" w:rsidP="007D195C">
      <w:pPr>
        <w:widowControl/>
        <w:wordWrap w:val="0"/>
        <w:snapToGrid w:val="0"/>
        <w:spacing w:line="300" w:lineRule="auto"/>
        <w:ind w:rightChars="-42" w:right="-88"/>
        <w:jc w:val="center"/>
        <w:rPr>
          <w:rFonts w:ascii="华文中宋" w:eastAsia="华文中宋" w:hAnsi="华文中宋" w:cs="宋体" w:hint="eastAsia"/>
          <w:bCs/>
          <w:color w:val="000000"/>
          <w:kern w:val="0"/>
          <w:sz w:val="44"/>
          <w:szCs w:val="44"/>
        </w:rPr>
      </w:pPr>
      <w:r w:rsidRPr="007D195C">
        <w:rPr>
          <w:rFonts w:ascii="华文中宋" w:eastAsia="华文中宋" w:hAnsi="华文中宋" w:cs="宋体" w:hint="eastAsia"/>
          <w:bCs/>
          <w:color w:val="000000"/>
          <w:kern w:val="0"/>
          <w:sz w:val="44"/>
          <w:szCs w:val="44"/>
        </w:rPr>
        <w:t>办法（试行）》的通知</w:t>
      </w:r>
    </w:p>
    <w:p w:rsidR="007D195C" w:rsidRPr="007D195C" w:rsidRDefault="007D195C" w:rsidP="007D195C">
      <w:pPr>
        <w:widowControl/>
        <w:wordWrap w:val="0"/>
        <w:spacing w:line="300" w:lineRule="auto"/>
        <w:jc w:val="left"/>
        <w:rPr>
          <w:rFonts w:ascii="仿宋_GB2312" w:eastAsia="仿宋_GB2312" w:hAnsi="宋体" w:cs="宋体" w:hint="eastAsia"/>
          <w:bCs/>
          <w:color w:val="000000"/>
          <w:kern w:val="0"/>
          <w:sz w:val="30"/>
          <w:szCs w:val="24"/>
        </w:rPr>
      </w:pPr>
    </w:p>
    <w:p w:rsidR="007D195C" w:rsidRPr="007D195C" w:rsidRDefault="007D195C" w:rsidP="007D195C">
      <w:pPr>
        <w:widowControl/>
        <w:wordWrap w:val="0"/>
        <w:snapToGrid w:val="0"/>
        <w:spacing w:line="300" w:lineRule="auto"/>
        <w:jc w:val="left"/>
        <w:rPr>
          <w:rFonts w:ascii="仿宋_GB2312" w:eastAsia="仿宋_GB2312" w:hAnsi="华文中宋" w:cs="宋体" w:hint="eastAsia"/>
          <w:bCs/>
          <w:color w:val="000000"/>
          <w:kern w:val="0"/>
          <w:sz w:val="30"/>
          <w:szCs w:val="30"/>
        </w:rPr>
      </w:pPr>
      <w:r w:rsidRPr="007D195C">
        <w:rPr>
          <w:rFonts w:ascii="仿宋_GB2312" w:eastAsia="仿宋_GB2312" w:hAnsi="华文中宋" w:cs="宋体" w:hint="eastAsia"/>
          <w:bCs/>
          <w:color w:val="000000"/>
          <w:kern w:val="0"/>
          <w:sz w:val="30"/>
          <w:szCs w:val="30"/>
        </w:rPr>
        <w:t>各部门、各单位：</w:t>
      </w:r>
    </w:p>
    <w:p w:rsidR="007D195C" w:rsidRPr="007D195C" w:rsidRDefault="007D195C" w:rsidP="007D195C">
      <w:pPr>
        <w:widowControl/>
        <w:wordWrap w:val="0"/>
        <w:snapToGrid w:val="0"/>
        <w:spacing w:line="420" w:lineRule="exact"/>
        <w:ind w:firstLineChars="200" w:firstLine="600"/>
        <w:jc w:val="left"/>
        <w:rPr>
          <w:rFonts w:ascii="仿宋_GB2312" w:eastAsia="仿宋_GB2312" w:hAnsi="华文中宋" w:cs="宋体" w:hint="eastAsia"/>
          <w:bCs/>
          <w:color w:val="000000"/>
          <w:kern w:val="0"/>
          <w:sz w:val="30"/>
          <w:szCs w:val="30"/>
        </w:rPr>
      </w:pPr>
      <w:r w:rsidRPr="007D195C">
        <w:rPr>
          <w:rFonts w:ascii="仿宋_GB2312" w:eastAsia="仿宋_GB2312" w:hAnsi="华文中宋" w:cs="宋体" w:hint="eastAsia"/>
          <w:bCs/>
          <w:color w:val="000000"/>
          <w:kern w:val="0"/>
          <w:sz w:val="30"/>
          <w:szCs w:val="30"/>
        </w:rPr>
        <w:t>《浙江财经学院教工年度考核办法（试行）》已经学院党委会讨论通过，现予以印发，请遵照执行。</w:t>
      </w:r>
    </w:p>
    <w:p w:rsidR="007D195C" w:rsidRPr="007D195C" w:rsidRDefault="007D195C" w:rsidP="007D195C">
      <w:pPr>
        <w:widowControl/>
        <w:wordWrap w:val="0"/>
        <w:snapToGrid w:val="0"/>
        <w:spacing w:line="420" w:lineRule="exact"/>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420" w:lineRule="exact"/>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420" w:lineRule="exact"/>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420" w:lineRule="exact"/>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420" w:lineRule="exact"/>
        <w:ind w:firstLineChars="1650" w:firstLine="4950"/>
        <w:jc w:val="left"/>
        <w:rPr>
          <w:rFonts w:ascii="仿宋_GB2312" w:eastAsia="仿宋_GB2312" w:hAnsi="华文中宋" w:cs="宋体" w:hint="eastAsia"/>
          <w:bCs/>
          <w:color w:val="000000"/>
          <w:kern w:val="0"/>
          <w:sz w:val="30"/>
          <w:szCs w:val="30"/>
        </w:rPr>
      </w:pPr>
      <w:r w:rsidRPr="007D195C">
        <w:rPr>
          <w:rFonts w:ascii="仿宋_GB2312" w:eastAsia="仿宋_GB2312" w:hAnsi="华文中宋" w:cs="宋体" w:hint="eastAsia"/>
          <w:bCs/>
          <w:color w:val="000000"/>
          <w:kern w:val="0"/>
          <w:sz w:val="30"/>
          <w:szCs w:val="30"/>
        </w:rPr>
        <w:t>二</w:t>
      </w:r>
      <w:r w:rsidRPr="007D195C">
        <w:rPr>
          <w:rFonts w:ascii="仿宋_GB2312" w:eastAsia="仿宋_GB2312" w:hAnsi="ˎ̥" w:cs="宋体" w:hint="eastAsia"/>
          <w:bCs/>
          <w:color w:val="000000"/>
          <w:kern w:val="0"/>
          <w:sz w:val="30"/>
          <w:szCs w:val="30"/>
        </w:rPr>
        <w:t>○一○年五月十一日</w:t>
      </w:r>
    </w:p>
    <w:p w:rsidR="007D195C" w:rsidRPr="007D195C" w:rsidRDefault="007D195C" w:rsidP="007D195C">
      <w:pPr>
        <w:widowControl/>
        <w:wordWrap w:val="0"/>
        <w:snapToGrid w:val="0"/>
        <w:spacing w:line="300" w:lineRule="auto"/>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300" w:lineRule="auto"/>
        <w:jc w:val="center"/>
        <w:rPr>
          <w:rFonts w:ascii="宋体" w:eastAsia="宋体" w:hAnsi="宋体" w:cs="宋体" w:hint="eastAsia"/>
          <w:bCs/>
          <w:color w:val="000000"/>
          <w:kern w:val="0"/>
          <w:sz w:val="24"/>
          <w:szCs w:val="24"/>
        </w:rPr>
      </w:pPr>
      <w:r w:rsidRPr="007D195C">
        <w:rPr>
          <w:rFonts w:ascii="华文中宋" w:eastAsia="华文中宋" w:hAnsi="华文中宋" w:cs="Times New Roman" w:hint="eastAsia"/>
          <w:bCs/>
          <w:color w:val="000000"/>
          <w:sz w:val="44"/>
          <w:szCs w:val="44"/>
        </w:rPr>
        <w:br w:type="page"/>
      </w:r>
    </w:p>
    <w:p w:rsidR="007D195C" w:rsidRPr="007D195C" w:rsidRDefault="007D195C" w:rsidP="007D195C">
      <w:pPr>
        <w:widowControl/>
        <w:wordWrap w:val="0"/>
        <w:spacing w:line="360" w:lineRule="auto"/>
        <w:ind w:rightChars="-42" w:right="-88"/>
        <w:jc w:val="center"/>
        <w:rPr>
          <w:rFonts w:ascii="华文中宋" w:eastAsia="华文中宋" w:hAnsi="华文中宋" w:cs="宋体"/>
          <w:bCs/>
          <w:color w:val="000000"/>
          <w:kern w:val="0"/>
          <w:sz w:val="44"/>
          <w:szCs w:val="44"/>
        </w:rPr>
      </w:pPr>
      <w:r w:rsidRPr="007D195C">
        <w:rPr>
          <w:rFonts w:ascii="华文中宋" w:eastAsia="华文中宋" w:hAnsi="华文中宋" w:cs="宋体" w:hint="eastAsia"/>
          <w:bCs/>
          <w:color w:val="000000"/>
          <w:kern w:val="0"/>
          <w:sz w:val="44"/>
          <w:szCs w:val="44"/>
        </w:rPr>
        <w:lastRenderedPageBreak/>
        <w:t>浙江财经学院教职工年度考核办法（试行）</w:t>
      </w:r>
    </w:p>
    <w:p w:rsidR="007D195C" w:rsidRPr="007D195C" w:rsidRDefault="007D195C" w:rsidP="007D195C">
      <w:pPr>
        <w:widowControl/>
        <w:wordWrap w:val="0"/>
        <w:snapToGrid w:val="0"/>
        <w:spacing w:line="300" w:lineRule="auto"/>
        <w:jc w:val="left"/>
        <w:rPr>
          <w:rFonts w:ascii="仿宋_GB2312" w:eastAsia="仿宋_GB2312" w:hAnsi="华文中宋" w:cs="宋体" w:hint="eastAsia"/>
          <w:bCs/>
          <w:color w:val="000000"/>
          <w:kern w:val="0"/>
          <w:sz w:val="30"/>
          <w:szCs w:val="30"/>
        </w:rPr>
      </w:pP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第一章　总　则</w:t>
      </w:r>
    </w:p>
    <w:p w:rsidR="007D195C" w:rsidRPr="007D195C" w:rsidRDefault="007D195C" w:rsidP="007D195C">
      <w:pPr>
        <w:widowControl/>
        <w:wordWrap w:val="0"/>
        <w:snapToGrid w:val="0"/>
        <w:spacing w:line="460" w:lineRule="exact"/>
        <w:ind w:rightChars="-42" w:right="-88" w:firstLineChars="196" w:firstLine="588"/>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第一条  为贯彻实施学校发展战略，正确评价教职工的工作实绩和德才表现，激励其积极性，并为其聘任、晋升、奖惩以及享受工资福利待遇等提供依据，根据人事部《事业单位工作人员考核暂行规定》（人核培发〔1995〕153号），结合我校实际情况，特制定本办法。</w:t>
      </w:r>
    </w:p>
    <w:p w:rsidR="007D195C" w:rsidRPr="007D195C" w:rsidRDefault="007D195C" w:rsidP="007D195C">
      <w:pPr>
        <w:widowControl/>
        <w:wordWrap w:val="0"/>
        <w:snapToGrid w:val="0"/>
        <w:spacing w:line="460" w:lineRule="exact"/>
        <w:ind w:rightChars="-42" w:right="-88" w:firstLineChars="196" w:firstLine="588"/>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第二条  考核应坚持客观公正、民主公开、实事求是、注重实绩的原则。</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第三条  考核应体现分类管理、按类考核的指导思想，学校将教职工年度考核分教师和其他工作人员两种类别，分别制订考核要求和办法，按类考核。</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第二章　考核对象</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第四条  我校在编在岗的教职工、在册在岗的人才派遣人员均须按本办法进行年度考核。学校中层以上领导干部的年度考核适用其他规定。</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第五条  下列人员不参加年度考核：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（一）触犯刑律被判处徒刑宣告缓刑，在缓刑期内的人员；</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（二）累计病、事假超过6个月的人员（产假、哺乳假除外）；</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（三）本年度内已办理退休、退职或者离岗退养手续人员；</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（四）校人才交流中心待聘时间超过3个月人员。</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第六条  下列人员参加年度考核，但不确定等次。</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（一）新参加工作未满见习期的本科及以下学历人员；</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（二）新参加工作不满6个月的硕士、博士研究生；</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（三）受行政记过、记大过、行政撤职或开除留用察看处分者，在处分期内的；</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（四）因非职务行为而受到党内严重警告处分者；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（五）受留党察看一年处分的第二年、受留党察看二年处分的，第二年和第三年的年度考核；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（六）受开除党籍处分的第二年和第三年的。</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七）被纪检监察机关或司法机关立案审查尚未结案的人员，参加年度考核，暂不写评语，不确定考核等次，待结案后再作确定。结案后无违法违纪，未受到党纪、政纪处分或刑事处罚的，按正常情况考核并确定等次。</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第七条  受党纪处分同时又受行政处分的，按受党纪处分的情况确定其考核等次。</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第三章　考核工作的组织领导</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第八条  学校各二级学院（部）和管理部门负责本部门教职工的考核工作，校人事处负责对考核结果审核。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第九条  学校各部门成立考核领导小组。二级学院（部）的考核领导小组由学院党政领导和教职工代表组成、管理等其他部门的考核领导小组由本部门的处级实职领导和教职工代表组成，部门第一负责人任组长。考核领导小组负责制定本部门教职工年度考核具体实施细则并组织实施。</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第十条  学校各部门的考核领导小组名单由各部门提出，校人事处负责审定。</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第四章  考核内容和要求</w:t>
      </w:r>
    </w:p>
    <w:p w:rsidR="007D195C" w:rsidRPr="007D195C" w:rsidRDefault="007D195C" w:rsidP="007D195C">
      <w:pPr>
        <w:widowControl/>
        <w:tabs>
          <w:tab w:val="num" w:pos="1080"/>
        </w:tabs>
        <w:wordWrap w:val="0"/>
        <w:snapToGrid w:val="0"/>
        <w:spacing w:line="460" w:lineRule="exact"/>
        <w:ind w:left="1380" w:rightChars="-42" w:right="-88" w:hanging="1080"/>
        <w:jc w:val="center"/>
        <w:rPr>
          <w:rFonts w:ascii="仿宋_GB2312" w:eastAsia="仿宋_GB2312" w:hAnsi="宋体" w:cs="宋体" w:hint="eastAsia"/>
          <w:bCs/>
          <w:color w:val="000000"/>
          <w:kern w:val="0"/>
          <w:sz w:val="30"/>
          <w:szCs w:val="30"/>
        </w:rPr>
      </w:pPr>
      <w:r w:rsidRPr="007D195C">
        <w:rPr>
          <w:rFonts w:ascii="仿宋_GB2312" w:eastAsia="仿宋_GB2312" w:hAnsi="宋体" w:cs="仿宋_GB2312" w:hint="eastAsia"/>
          <w:bCs/>
          <w:color w:val="000000"/>
          <w:kern w:val="0"/>
          <w:sz w:val="30"/>
          <w:szCs w:val="30"/>
        </w:rPr>
        <w:t>第一节</w:t>
      </w:r>
      <w:r w:rsidRPr="007D195C">
        <w:rPr>
          <w:rFonts w:ascii="Times New Roman" w:eastAsia="仿宋_GB2312" w:hAnsi="Times New Roman" w:cs="Times New Roman"/>
          <w:bCs/>
          <w:color w:val="000000"/>
          <w:kern w:val="0"/>
          <w:sz w:val="14"/>
          <w:szCs w:val="14"/>
        </w:rPr>
        <w:t xml:space="preserve">      </w:t>
      </w:r>
      <w:r w:rsidRPr="007D195C">
        <w:rPr>
          <w:rFonts w:ascii="仿宋_GB2312" w:eastAsia="仿宋_GB2312" w:hAnsi="宋体" w:cs="宋体" w:hint="eastAsia"/>
          <w:bCs/>
          <w:color w:val="000000"/>
          <w:kern w:val="0"/>
          <w:sz w:val="30"/>
          <w:szCs w:val="30"/>
        </w:rPr>
        <w:t xml:space="preserve"> 考核内容</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第十一条  教职工年度考核内容包括德、能、勤、绩四个方面，重点考核工作实绩。德，主要考核政治思想表现、职业道德和师德师风；能，主要考核业务知识水平和工作能力以及学术研究、教书育人、管理服务的创新；勤，主要考核工作态度和遵守劳动纪律情况；绩，主要考核完成工作任务的数量、质量、效益和贡献。</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第十二条  工作业绩考核包括业务工作业绩考核和其他工作业绩考核。教师业务工作业绩考核包括教学工作业绩和科研工作业绩考核。</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第十三条  学校统一规定各层次教师教学科研工作业绩基本要求，各二级学院（部）应根据本部门实际情况和工作需要，在广泛听取本部门教职工意见基础上，研究制定不低于学校基本要求的本部门教师教学科研工作业绩年度考核具体要求，经二级教代会或全体成员大会审议后报学校审批备案。</w:t>
      </w:r>
    </w:p>
    <w:p w:rsidR="007D195C" w:rsidRPr="007D195C" w:rsidRDefault="007D195C" w:rsidP="007D195C">
      <w:pPr>
        <w:widowControl/>
        <w:wordWrap w:val="0"/>
        <w:snapToGrid w:val="0"/>
        <w:spacing w:line="44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第二节  教师教学科研工作业绩基本要求</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第十四条  正高级专业技术职务教师每年度必须完成450教学科研工作总当量，承担本科生课堂教学工作量不低于学校教学业绩考核办法有关规定中的相应最低课时数要求，科研最低工作量要求由学院制定。</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第十五条  副高级专业技术职务教师每年度必须完成450教学科研工作总当量，承担本科生课堂教学工作量不低于学校教学业绩考核办法有关规定中的相应最低课时数要求，科研最低工作量要求由学院制定。</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第十六条  中级专业技术职务教师每年度必须完成450教学科研工作总当量，承担本科生课堂教学工作量不低于学校教学业绩考核办法有关规定中的相应最低课时数要求。</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第十七条  初级专业技术职务教师每年度必须完成300教学科研工作总当量，承担本科生课堂教学工作量不低于学校教学业绩考核办法有关规定中的相应最低课时数要求。</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第十八条  教学科研工作总当量具体计算办法为：</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教学科研工作总当量=教学工作总当量+科研工作总当量</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教学工作总当量=课堂教学工作当量+非课堂教学工作当量（含论文、实习、综合导师、研究生导师及其它教学工作当量）</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教学工作总当量包括本科生教学（含东方学院）和研究生教学工作当量，具体计算范围与标准根据学校有关规定执行。</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科研工作总当量=科研项目工作量+科研成果工作量+科研成果获奖工作量</w:t>
      </w:r>
    </w:p>
    <w:p w:rsidR="007D195C" w:rsidRPr="007D195C" w:rsidRDefault="007D195C" w:rsidP="007D195C">
      <w:pPr>
        <w:widowControl/>
        <w:wordWrap w:val="0"/>
        <w:snapToGrid w:val="0"/>
        <w:spacing w:line="44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科研工作总当量为科研工作量总分值，即1个科研工作量分值为1个科研工作当量，科研工作量分值具体计算范围与标准根据学校有关规定执行。</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鉴于科研工作的特殊性，教师年度考核完成科研工作总当量计算可由教师在当年实际完成科研工作总当量或近二年实际完成科研工作总当量的平均值或近三年实际完成科研工作总当量的平均值中自主择高确定。</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第十九条  具有下列情形者，可减免一定量的年度教学科研基本工作量考核要求：</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（一）经学校批准同意国内外脱产进修、请产假或哺乳假、病假三个月及以上的教师，可免予当年教学、科研基本工作量考核。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（二）由学校派出挂职锻炼人员，可免予当年教学、科研基本工作量考核。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（三）到校工作不足一年的教师，可免予当年教学科研基本工作量考核；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（四）经学校批准同意在职在岗攻读博士学位的教师，可按所在二级学院（部）规定的教学科研基本工作量减半考核二年；</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（五）兼任管理工作的教师，可按所在二级学院（部）规定的教学科研基本工作量减20%考核；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（六）对接近退休年龄（男性满57周岁、女性满52周岁）的教师，可按所在二级学院（部）规定的教学科研基本工作量减半考核；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（七）其他特殊情形由校长办公会议研究确定。</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第五章  考核等级及评定</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第二十条  教职工年度考核结果分为优秀、合格、基本合格、不合格四个等级。</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第二十一条  对照各类人员德、能、勤、绩等方面的要求，能很好地履行本岗位工作职责，出色完成本岗位工作任务，工作量饱满，工作业绩突出者，年度考核结果为优秀。教师评定优秀的比例不超过本学院参加考核教师的20%，其他工作人员评定优秀的比例不超过各部门参加考核人数的15%。参加考核人数较少的部门,实行几个部门合并考核。</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第二十二条  对照各类人员德、能、勤、绩等方面的要求，能履行本岗位工作职责，完成本岗位工作任务（教师须完成所在二级学院（部）规定的教学科研基本工作量考核要求），工作量较饱满，工作业绩较好者，年度考核结果为合格。</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第二十三条  对照各类人员德、能、勤、绩等方面的要求，能基本履行本岗位工作职责，工作量不够饱满，工作业绩欠佳，具有以下情形之一者，年度考核结果为基本合格。</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未完成所在二级学院（部）规定的教学科研基本工作量考核要求，但完成学校规定年度教学科研工作总当量基本要求50%（含）以上，且承担本科生课堂教学工作量不低于学校教学业绩考核办法有关规定中的相应最低课时数要求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（二）连续旷工5个及以上但不到10个工作日，或年累计旷工10个及以上但不到20个工作日者；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（三）年度累计事假2个月及以上，6个月以下者；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（四）当年受到党内警告处分者；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（五）当年受到行政警告和严重警告处分者。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第二十四条  具有下列情形之一者，年度考核结果为不合格：</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（一）承担本科生课堂教学工作量低于学校教学业绩考核办法有关规定中的相应最低课时数要求者；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（二）实际完成教学科研工作总当量低于学校规定的年度教学科研工作总当量基本要求50%以下者；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（三）连续旷工超过10个工作日，或年累计旷工超过20个工作日者；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 xml:space="preserve"> (四) 当年受行政记过、记大过、行政撤职或开除留用察看处分者； </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（五）当年因与职务行为有关的错误而受到党内严重警告处分者；</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（六）当年受撤消党内职务处分、受留党察看处分、受开除党籍处分者。</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第六章  考核时间、方法和程序</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第二十五条  对教职工考核每年进行一次，考核时间为次年年初。</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第二十六条  教师的考核及等级评定程序如下：</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（一）个人总结：被考核人按规定时间总结自己一年来的表现和工作业绩并填写《浙江财经学院教学科研人员年度考核表》，并交所在二级学院（部）。</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（二）内容审核：二级学院（部）对被考核人填写的考核表中内容的真实性进行审核，由部门负责人在考核表上签署审核意见。</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（三）材料公示：二级学院（部）将考核表在本部门公示三天。</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（四）考核评价：二级学院（部）召开部门考核领导小组会议，对被考核人的业务工作业绩和其他工作业绩进行评价。</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（五）考核等级确定及公示：二级学院（部）考核领导小组提出被考核人的年度考核等级，并由二级学院（部）负责人在考核表上对被考核人签署考核等级意见并将全体考核结果在部门内公示三天。</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因符合本办法第十九条减免工作量规定而确定为合格者，不参加年度评优。</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（六）人事处审核：公示期满无异议的，二级学院（部）将“浙江财经学院教学科研人员年度考核表”和本部门的考核汇总表报人事处，人事处负责审核考核结果。</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（七）考核结果确认：学校对被考核人的考核结果进行确认后，由二级学院（部）向被考核人书面送达年度考核结果。</w:t>
      </w:r>
    </w:p>
    <w:p w:rsidR="007D195C" w:rsidRPr="007D195C" w:rsidRDefault="007D195C" w:rsidP="007D195C">
      <w:pPr>
        <w:widowControl/>
        <w:wordWrap w:val="0"/>
        <w:snapToGrid w:val="0"/>
        <w:spacing w:line="460" w:lineRule="exact"/>
        <w:ind w:rightChars="-42" w:right="-88" w:firstLineChars="177" w:firstLine="531"/>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第二十七条  其他工作人员的考核程序如下：</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（一）个人总结：被考核人总结自己一年来的思想、工作等主要成绩和不足并填写“浙江财经学院职工年度考核表”，交所在部门；</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（二）召开考核会议：二级学院（部）和其他部门负责人组织本部门全体职工听取被考核人的工作情况汇报，并组织本部门教职工和部门领导对被考核人进行考核评议。</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提出考核意见：二级学院（部）和其他部门考核领导小组根据被考核人的工作表现和群众评议，提出被考核人的年度考核等级，并由部门负责人在考核表上对被考核人签署考核等级意见并在部门内公示3天；</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（四）人事处审核：二级学院（部）和其他部门将“浙江财经学院职工年度考核表”和本部门考核汇总表报人事处，人事处负责审核考核结果。</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（五）考核结果确认：学校对被考核人的考核结果进行确认后，由二级学院（部）和其他部门向被考核人书面送达年度考核结果。</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第二十八条  对于考核结果有异议的，可向所在部门考核领导小组提出书面申诉，由所在部门考核领导小组负责解释并复核。如果所在部门考核领导小组经研究后认为有必要提出修正，需提出书面修正建议送人事处，由人事处报校长办公会议研究决定。</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第七章  考核结果的效用</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第二十九条  年度考核结果的效用如下：</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（一）考核为合格以上的教职工，当年增发一个月基本工资，次年增加一级薪级工资。增加薪级工资的标准，按照国家和浙江省的有关文件规定执行。</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（二）当年考核为合格及以上的教职工，方可被推荐评选校级及以上先进个人。</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（三）考核结果为基本合格和不合格的，教师按未完成学校规定的年度教学科研工作总当量的比例扣减相应的全年基础津贴；其他人员分别扣减1个月和2个月校内津贴。</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（四）年度考核不合格者，在申请晋升专业技术职务和非领导职务时，需在原规定的任现职年限要求基础上推迟1年，若连续两个年度考核为不合格者，推迟3年。</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lastRenderedPageBreak/>
        <w:t>（五）连续两次年度考核不合格者，进入学校人才交流中心待岗或依据国家法律规定和聘用合同有关约定处理。</w:t>
      </w:r>
    </w:p>
    <w:p w:rsidR="007D195C" w:rsidRPr="007D195C" w:rsidRDefault="007D195C" w:rsidP="007D195C">
      <w:pPr>
        <w:widowControl/>
        <w:wordWrap w:val="0"/>
        <w:snapToGrid w:val="0"/>
        <w:spacing w:line="460" w:lineRule="exact"/>
        <w:ind w:rightChars="-42" w:right="-88"/>
        <w:jc w:val="center"/>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第八章  附  则</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第三十条  本办法所称的二级学院（部）是指承担教学科研任务的学院（部），不包括东方学院和成人教学学院；其他部门是指学校党政部门、群众团体、教辅单位和法人实体。</w:t>
      </w:r>
    </w:p>
    <w:p w:rsidR="007D195C" w:rsidRPr="007D195C" w:rsidRDefault="007D195C" w:rsidP="007D195C">
      <w:pPr>
        <w:widowControl/>
        <w:wordWrap w:val="0"/>
        <w:snapToGrid w:val="0"/>
        <w:spacing w:line="460" w:lineRule="exact"/>
        <w:ind w:rightChars="-42" w:right="-88"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第三十一条  本办法所称教师是指专职从事教学、科研工作的人员；其他工作人员是指管理人员、政治辅导员、教辅人员和工勤人员。</w:t>
      </w:r>
    </w:p>
    <w:p w:rsidR="007D195C" w:rsidRPr="007D195C" w:rsidRDefault="007D195C" w:rsidP="007D195C">
      <w:pPr>
        <w:widowControl/>
        <w:wordWrap w:val="0"/>
        <w:snapToGrid w:val="0"/>
        <w:spacing w:line="460" w:lineRule="exact"/>
        <w:ind w:firstLineChars="200" w:firstLine="60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第三十二条  本办法教学工作业绩考核有关规定由学校教务处、研究生处负责解释，科研工作业绩考核有关规定由学校科研处负责解释，其他规定由学校人事处负责解释。</w:t>
      </w:r>
    </w:p>
    <w:p w:rsidR="007D195C" w:rsidRPr="007D195C" w:rsidRDefault="007D195C" w:rsidP="007D195C">
      <w:pPr>
        <w:widowControl/>
        <w:wordWrap w:val="0"/>
        <w:snapToGrid w:val="0"/>
        <w:spacing w:line="460" w:lineRule="exact"/>
        <w:ind w:firstLine="570"/>
        <w:jc w:val="left"/>
        <w:rPr>
          <w:rFonts w:ascii="仿宋_GB2312" w:eastAsia="仿宋_GB2312" w:hAnsi="宋体" w:cs="宋体" w:hint="eastAsia"/>
          <w:bCs/>
          <w:color w:val="000000"/>
          <w:kern w:val="0"/>
          <w:sz w:val="30"/>
          <w:szCs w:val="30"/>
        </w:rPr>
      </w:pPr>
      <w:r w:rsidRPr="007D195C">
        <w:rPr>
          <w:rFonts w:ascii="仿宋_GB2312" w:eastAsia="仿宋_GB2312" w:hAnsi="宋体" w:cs="宋体" w:hint="eastAsia"/>
          <w:bCs/>
          <w:color w:val="000000"/>
          <w:kern w:val="0"/>
          <w:sz w:val="30"/>
          <w:szCs w:val="30"/>
        </w:rPr>
        <w:t>第三十三条  本办法从2010年1月1日起实行，原《浙江财经学院教职工年度考核办法》（浙财院〔2006〕253号）同时废止。</w:t>
      </w:r>
    </w:p>
    <w:p w:rsidR="003712A7" w:rsidRDefault="003712A7"/>
    <w:sectPr w:rsidR="003712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12A7" w:rsidRDefault="003712A7" w:rsidP="007D195C">
      <w:r>
        <w:separator/>
      </w:r>
    </w:p>
  </w:endnote>
  <w:endnote w:type="continuationSeparator" w:id="1">
    <w:p w:rsidR="003712A7" w:rsidRDefault="003712A7" w:rsidP="007D1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ˎ̥">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12A7" w:rsidRDefault="003712A7" w:rsidP="007D195C">
      <w:r>
        <w:separator/>
      </w:r>
    </w:p>
  </w:footnote>
  <w:footnote w:type="continuationSeparator" w:id="1">
    <w:p w:rsidR="003712A7" w:rsidRDefault="003712A7" w:rsidP="007D1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195C"/>
    <w:rsid w:val="003712A7"/>
    <w:rsid w:val="007D19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1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195C"/>
    <w:rPr>
      <w:sz w:val="18"/>
      <w:szCs w:val="18"/>
    </w:rPr>
  </w:style>
  <w:style w:type="paragraph" w:styleId="a4">
    <w:name w:val="footer"/>
    <w:basedOn w:val="a"/>
    <w:link w:val="Char0"/>
    <w:uiPriority w:val="99"/>
    <w:semiHidden/>
    <w:unhideWhenUsed/>
    <w:rsid w:val="007D19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D195C"/>
    <w:rPr>
      <w:sz w:val="18"/>
      <w:szCs w:val="18"/>
    </w:rPr>
  </w:style>
  <w:style w:type="paragraph" w:styleId="a5">
    <w:name w:val="Normal (Web)"/>
    <w:basedOn w:val="a"/>
    <w:uiPriority w:val="99"/>
    <w:semiHidden/>
    <w:unhideWhenUsed/>
    <w:rsid w:val="007D195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7D195C"/>
    <w:rPr>
      <w:sz w:val="18"/>
      <w:szCs w:val="18"/>
    </w:rPr>
  </w:style>
  <w:style w:type="character" w:customStyle="1" w:styleId="Char1">
    <w:name w:val="批注框文本 Char"/>
    <w:basedOn w:val="a0"/>
    <w:link w:val="a6"/>
    <w:uiPriority w:val="99"/>
    <w:semiHidden/>
    <w:rsid w:val="007D195C"/>
    <w:rPr>
      <w:sz w:val="18"/>
      <w:szCs w:val="18"/>
    </w:rPr>
  </w:style>
</w:styles>
</file>

<file path=word/webSettings.xml><?xml version="1.0" encoding="utf-8"?>
<w:webSettings xmlns:r="http://schemas.openxmlformats.org/officeDocument/2006/relationships" xmlns:w="http://schemas.openxmlformats.org/wordprocessingml/2006/main">
  <w:divs>
    <w:div w:id="1377269963">
      <w:bodyDiv w:val="1"/>
      <w:marLeft w:val="0"/>
      <w:marRight w:val="0"/>
      <w:marTop w:val="600"/>
      <w:marBottom w:val="0"/>
      <w:divBdr>
        <w:top w:val="none" w:sz="0" w:space="0" w:color="auto"/>
        <w:left w:val="none" w:sz="0" w:space="0" w:color="auto"/>
        <w:bottom w:val="none" w:sz="0" w:space="0" w:color="auto"/>
        <w:right w:val="none" w:sz="0" w:space="0" w:color="auto"/>
      </w:divBdr>
      <w:divsChild>
        <w:div w:id="815758070">
          <w:marLeft w:val="0"/>
          <w:marRight w:val="0"/>
          <w:marTop w:val="0"/>
          <w:marBottom w:val="0"/>
          <w:divBdr>
            <w:top w:val="none" w:sz="0" w:space="0" w:color="auto"/>
            <w:left w:val="none" w:sz="0" w:space="0" w:color="auto"/>
            <w:bottom w:val="none" w:sz="0" w:space="0" w:color="auto"/>
            <w:right w:val="none" w:sz="0" w:space="0" w:color="auto"/>
          </w:divBdr>
          <w:divsChild>
            <w:div w:id="815806582">
              <w:marLeft w:val="0"/>
              <w:marRight w:val="0"/>
              <w:marTop w:val="0"/>
              <w:marBottom w:val="0"/>
              <w:divBdr>
                <w:top w:val="none" w:sz="0" w:space="0" w:color="auto"/>
                <w:left w:val="none" w:sz="0" w:space="0" w:color="auto"/>
                <w:bottom w:val="none" w:sz="0" w:space="0" w:color="auto"/>
                <w:right w:val="none" w:sz="0" w:space="0" w:color="auto"/>
              </w:divBdr>
              <w:divsChild>
                <w:div w:id="890577253">
                  <w:marLeft w:val="0"/>
                  <w:marRight w:val="0"/>
                  <w:marTop w:val="0"/>
                  <w:marBottom w:val="0"/>
                  <w:divBdr>
                    <w:top w:val="none" w:sz="0" w:space="0" w:color="auto"/>
                    <w:left w:val="none" w:sz="0" w:space="0" w:color="auto"/>
                    <w:bottom w:val="none" w:sz="0" w:space="0" w:color="auto"/>
                    <w:right w:val="none" w:sz="0" w:space="0" w:color="auto"/>
                  </w:divBdr>
                  <w:divsChild>
                    <w:div w:id="2093549593">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753</Words>
  <Characters>4294</Characters>
  <Application>Microsoft Office Word</Application>
  <DocSecurity>0</DocSecurity>
  <Lines>35</Lines>
  <Paragraphs>10</Paragraphs>
  <ScaleCrop>false</ScaleCrop>
  <Company>WwW.YlmF.CoM</Company>
  <LinksUpToDate>false</LinksUpToDate>
  <CharactersWithSpaces>5037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2011-09-28T07:00:00Z</dcterms:created>
  <dcterms:modified xsi:type="dcterms:W3CDTF">2011-09-28T07:01:00Z</dcterms:modified>
</cp:coreProperties>
</file>